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4FC6EEE0"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C34500">
        <w:rPr>
          <w:rFonts w:asciiTheme="minorBidi" w:eastAsia="Book Antiqua" w:hAnsiTheme="minorBidi" w:cstheme="minorBidi"/>
          <w:b/>
          <w:smallCaps/>
          <w:sz w:val="28"/>
          <w:szCs w:val="24"/>
        </w:rPr>
        <w:t>72 AL</w:t>
      </w:r>
      <w:r w:rsidR="00F56D99">
        <w:rPr>
          <w:rFonts w:asciiTheme="minorBidi" w:eastAsia="Book Antiqua" w:hAnsiTheme="minorBidi" w:cstheme="minorBidi"/>
          <w:b/>
          <w:smallCaps/>
          <w:sz w:val="28"/>
          <w:szCs w:val="24"/>
        </w:rPr>
        <w:t xml:space="preserve">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6E22ED7C"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C5450C">
        <w:rPr>
          <w:rFonts w:asciiTheme="minorBidi" w:eastAsia="Book Antiqua" w:hAnsiTheme="minorBidi" w:cstheme="minorBidi"/>
          <w:b/>
          <w:smallCaps/>
          <w:sz w:val="28"/>
          <w:szCs w:val="24"/>
        </w:rPr>
        <w:t>02</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3BC1F709" w:rsidR="00ED061E" w:rsidRPr="007D0728" w:rsidRDefault="00ED061E"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AOUT 202</w:t>
      </w:r>
      <w:r w:rsidR="00C5450C">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 xml:space="preserve">Société Al </w:t>
      </w:r>
      <w:proofErr w:type="spellStart"/>
      <w:r>
        <w:rPr>
          <w:rFonts w:asciiTheme="minorBidi" w:hAnsiTheme="minorBidi" w:cstheme="minorBidi"/>
          <w:sz w:val="24"/>
          <w:szCs w:val="24"/>
        </w:rPr>
        <w:t>Omrane</w:t>
      </w:r>
      <w:proofErr w:type="spellEnd"/>
      <w:r>
        <w:rPr>
          <w:rFonts w:asciiTheme="minorBidi" w:hAnsiTheme="minorBidi" w:cstheme="minorBidi"/>
          <w:sz w:val="24"/>
          <w:szCs w:val="24"/>
        </w:rPr>
        <w:t xml:space="preserv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w:t>
      </w:r>
      <w:proofErr w:type="spellStart"/>
      <w:r>
        <w:rPr>
          <w:rFonts w:asciiTheme="minorBidi" w:hAnsiTheme="minorBidi" w:cstheme="minorBidi"/>
          <w:sz w:val="24"/>
          <w:szCs w:val="24"/>
        </w:rPr>
        <w:t>Mbarek</w:t>
      </w:r>
      <w:proofErr w:type="spellEnd"/>
      <w:r>
        <w:rPr>
          <w:rFonts w:asciiTheme="minorBidi" w:hAnsiTheme="minorBidi" w:cstheme="minorBidi"/>
          <w:sz w:val="24"/>
          <w:szCs w:val="24"/>
        </w:rPr>
        <w:t xml:space="preserve"> al </w:t>
      </w:r>
      <w:proofErr w:type="spellStart"/>
      <w:r>
        <w:rPr>
          <w:rFonts w:asciiTheme="minorBidi" w:hAnsiTheme="minorBidi" w:cstheme="minorBidi"/>
          <w:sz w:val="24"/>
          <w:szCs w:val="24"/>
        </w:rPr>
        <w:t>Bekkay</w:t>
      </w:r>
      <w:proofErr w:type="spellEnd"/>
      <w:r>
        <w:rPr>
          <w:rFonts w:asciiTheme="minorBidi" w:hAnsiTheme="minorBidi" w:cstheme="minorBidi"/>
          <w:sz w:val="24"/>
          <w:szCs w:val="24"/>
        </w:rPr>
        <w:t xml:space="preserve"> </w:t>
      </w:r>
      <w:proofErr w:type="spellStart"/>
      <w:r>
        <w:rPr>
          <w:rFonts w:asciiTheme="minorBidi" w:hAnsiTheme="minorBidi" w:cstheme="minorBidi"/>
          <w:sz w:val="24"/>
          <w:szCs w:val="24"/>
        </w:rPr>
        <w:t>Lehbil</w:t>
      </w:r>
      <w:proofErr w:type="spellEnd"/>
      <w:r>
        <w:rPr>
          <w:rFonts w:asciiTheme="minorBidi" w:hAnsiTheme="minorBidi" w:cstheme="minorBidi"/>
          <w:sz w:val="24"/>
          <w:szCs w:val="24"/>
        </w:rPr>
        <w:t>,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 xml:space="preserve">Ci-après dénommée « Al </w:t>
      </w:r>
      <w:proofErr w:type="spellStart"/>
      <w:r w:rsidRPr="0052138B">
        <w:rPr>
          <w:rFonts w:asciiTheme="minorBidi" w:eastAsia="Book Antiqua" w:hAnsiTheme="minorBidi" w:cstheme="minorBidi"/>
          <w:b/>
          <w:color w:val="000000"/>
          <w:sz w:val="24"/>
          <w:szCs w:val="24"/>
          <w:u w:val="single"/>
        </w:rPr>
        <w:t>Omrane</w:t>
      </w:r>
      <w:proofErr w:type="spellEnd"/>
      <w:r w:rsidRPr="0052138B">
        <w:rPr>
          <w:rFonts w:asciiTheme="minorBidi" w:eastAsia="Book Antiqua" w:hAnsiTheme="minorBidi" w:cstheme="minorBidi"/>
          <w:b/>
          <w:color w:val="000000"/>
          <w:sz w:val="24"/>
          <w:szCs w:val="24"/>
          <w:u w:val="single"/>
        </w:rPr>
        <w:t xml:space="preserv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au capital social de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proofErr w:type="gramStart"/>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le</w:t>
      </w:r>
      <w:proofErr w:type="gramEnd"/>
      <w:r w:rsidR="0018213E" w:rsidRPr="0052138B">
        <w:rPr>
          <w:rFonts w:asciiTheme="minorBidi" w:eastAsia="Book Antiqua" w:hAnsiTheme="minorBidi" w:cstheme="minorBidi"/>
          <w:b/>
          <w:color w:val="000000"/>
          <w:sz w:val="24"/>
          <w:szCs w:val="24"/>
          <w:u w:val="single"/>
        </w:rPr>
        <w:t xml:space="preserve"> </w:t>
      </w:r>
      <w:proofErr w:type="gramStart"/>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roofErr w:type="gramEnd"/>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 xml:space="preserve">Al </w:t>
      </w:r>
      <w:proofErr w:type="spellStart"/>
      <w:r w:rsidRPr="0052138B">
        <w:rPr>
          <w:rFonts w:asciiTheme="minorBidi" w:eastAsia="Gungsuh" w:hAnsiTheme="minorBidi" w:cstheme="minorBidi"/>
          <w:color w:val="000000"/>
          <w:sz w:val="24"/>
          <w:szCs w:val="24"/>
        </w:rPr>
        <w:t>Omrane</w:t>
      </w:r>
      <w:proofErr w:type="spellEnd"/>
      <w:r w:rsidRPr="0052138B">
        <w:rPr>
          <w:rFonts w:asciiTheme="minorBidi" w:eastAsia="Gungsuh" w:hAnsiTheme="minorBidi" w:cstheme="minorBidi"/>
          <w:color w:val="000000"/>
          <w:sz w:val="24"/>
          <w:szCs w:val="24"/>
        </w:rPr>
        <w:t xml:space="preserv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 xml:space="preserve">règlement relatif aux marchés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06FE1C58"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C5450C">
        <w:rPr>
          <w:rFonts w:asciiTheme="minorBidi" w:eastAsia="Book Antiqua" w:hAnsiTheme="minorBidi" w:cstheme="minorBidi"/>
          <w:sz w:val="24"/>
          <w:szCs w:val="24"/>
        </w:rPr>
        <w:t>02</w:t>
      </w:r>
      <w:r w:rsidR="00AE26D1">
        <w:rPr>
          <w:rFonts w:asciiTheme="minorBidi" w:eastAsia="Book Antiqua" w:hAnsiTheme="minorBidi" w:cstheme="minorBidi"/>
          <w:sz w:val="24"/>
          <w:szCs w:val="24"/>
        </w:rPr>
        <w:t xml:space="preserve">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C5450C">
        <w:rPr>
          <w:rFonts w:asciiTheme="minorBidi" w:eastAsia="Book Antiqua" w:hAnsiTheme="minorBidi" w:cstheme="minorBidi"/>
          <w:sz w:val="24"/>
          <w:szCs w:val="24"/>
        </w:rPr>
        <w:t>7</w:t>
      </w:r>
      <w:r w:rsidR="001A0621" w:rsidRPr="004A4DAB">
        <w:rPr>
          <w:rFonts w:asciiTheme="minorBidi" w:eastAsia="Book Antiqua" w:hAnsiTheme="minorBidi" w:cstheme="minorBidi"/>
          <w:sz w:val="24"/>
          <w:szCs w:val="24"/>
        </w:rPr>
        <w:t xml:space="preserve"> Aout 202</w:t>
      </w:r>
      <w:r w:rsidR="00C5450C">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3616BB0F"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proofErr w:type="gramStart"/>
      <w:r w:rsidR="00C5450C">
        <w:rPr>
          <w:rFonts w:asciiTheme="minorBidi" w:hAnsiTheme="minorBidi" w:cstheme="minorBidi"/>
          <w:bCs/>
          <w:szCs w:val="24"/>
        </w:rPr>
        <w:t>…….</w:t>
      </w:r>
      <w:proofErr w:type="gramEnd"/>
      <w:r w:rsidRPr="0052138B">
        <w:rPr>
          <w:rFonts w:asciiTheme="minorBidi" w:hAnsiTheme="minorBidi" w:cstheme="minorBidi"/>
          <w:bCs/>
          <w:szCs w:val="24"/>
        </w:rPr>
        <w:t xml:space="preserve">] </w:t>
      </w:r>
      <w:r w:rsidRPr="0052138B">
        <w:rPr>
          <w:rFonts w:asciiTheme="minorBidi" w:hAnsiTheme="minorBidi" w:cstheme="minorBidi"/>
          <w:szCs w:val="24"/>
        </w:rPr>
        <w:t xml:space="preserve">lancé par Al </w:t>
      </w:r>
      <w:proofErr w:type="spellStart"/>
      <w:r w:rsidRPr="0052138B">
        <w:rPr>
          <w:rFonts w:asciiTheme="minorBidi" w:hAnsiTheme="minorBidi" w:cstheme="minorBidi"/>
          <w:szCs w:val="24"/>
        </w:rPr>
        <w:t>Omrane</w:t>
      </w:r>
      <w:proofErr w:type="spellEnd"/>
      <w:r w:rsidRPr="0052138B">
        <w:rPr>
          <w:rFonts w:asciiTheme="minorBidi" w:hAnsiTheme="minorBidi" w:cstheme="minorBidi"/>
          <w:szCs w:val="24"/>
        </w:rPr>
        <w:t>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 xml:space="preserve">u partenariat entre Al </w:t>
      </w:r>
      <w:proofErr w:type="spellStart"/>
      <w:r w:rsidR="002354A7" w:rsidRPr="00372948">
        <w:rPr>
          <w:rFonts w:asciiTheme="minorBidi" w:eastAsia="Book Antiqua" w:hAnsiTheme="minorBidi" w:cstheme="minorBidi"/>
          <w:color w:val="000000"/>
          <w:sz w:val="24"/>
          <w:szCs w:val="24"/>
        </w:rPr>
        <w:t>Omrane</w:t>
      </w:r>
      <w:proofErr w:type="spellEnd"/>
      <w:r w:rsidR="002354A7" w:rsidRPr="00372948">
        <w:rPr>
          <w:rFonts w:asciiTheme="minorBidi" w:eastAsia="Book Antiqua" w:hAnsiTheme="minorBidi" w:cstheme="minorBidi"/>
          <w:color w:val="000000"/>
          <w:sz w:val="24"/>
          <w:szCs w:val="24"/>
        </w:rPr>
        <w:t xml:space="preserv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w:t>
      </w:r>
      <w:proofErr w:type="gramStart"/>
      <w:r w:rsidR="002354A7" w:rsidRPr="00372948">
        <w:rPr>
          <w:rFonts w:asciiTheme="minorBidi" w:eastAsia="Book Antiqua" w:hAnsiTheme="minorBidi" w:cstheme="minorBidi"/>
          <w:color w:val="000000"/>
          <w:sz w:val="24"/>
          <w:szCs w:val="24"/>
        </w:rPr>
        <w:t>…….</w:t>
      </w:r>
      <w:proofErr w:type="gramEnd"/>
      <w:r w:rsidR="002354A7" w:rsidRPr="00372948">
        <w:rPr>
          <w:rFonts w:asciiTheme="minorBidi" w:eastAsia="Book Antiqua" w:hAnsiTheme="minorBidi" w:cstheme="minorBidi"/>
          <w:color w:val="000000"/>
          <w:sz w:val="24"/>
          <w:szCs w:val="24"/>
        </w:rPr>
        <w:t>.]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2074D6B7"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44769A">
        <w:rPr>
          <w:rFonts w:asciiTheme="minorBidi" w:eastAsia="Book Antiqua" w:hAnsiTheme="minorBidi" w:cstheme="minorBidi"/>
          <w:sz w:val="24"/>
          <w:szCs w:val="24"/>
        </w:rPr>
        <w:t>2</w:t>
      </w:r>
      <w:r w:rsidR="00BE6AA0">
        <w:rPr>
          <w:rFonts w:asciiTheme="minorBidi" w:eastAsia="Book Antiqua" w:hAnsiTheme="minorBidi" w:cstheme="minorBidi"/>
          <w:sz w:val="24"/>
          <w:szCs w:val="24"/>
        </w:rPr>
        <w:t>46</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m</w:t>
            </w:r>
            <w:proofErr w:type="gramEnd"/>
            <w:r w:rsidRPr="005255AE">
              <w:rPr>
                <w:rFonts w:asciiTheme="minorBidi" w:eastAsia="Book Antiqua" w:hAnsiTheme="minorBidi" w:cstheme="minorBidi"/>
                <w:b/>
                <w:sz w:val="22"/>
                <w:szCs w:val="22"/>
              </w:rPr>
              <w:t>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proofErr w:type="spellStart"/>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entre</w:t>
            </w:r>
            <w:proofErr w:type="gramEnd"/>
            <w:r w:rsidRPr="005255AE">
              <w:rPr>
                <w:rFonts w:asciiTheme="minorBidi" w:eastAsia="Book Antiqua" w:hAnsiTheme="minorBidi" w:cstheme="minorBidi"/>
                <w:b/>
                <w:sz w:val="22"/>
                <w:szCs w:val="22"/>
              </w:rPr>
              <w:t xml:space="preserve"> 300 à 700 </w:t>
            </w:r>
            <w:proofErr w:type="spellStart"/>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roofErr w:type="spellEnd"/>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197EE91D" w:rsidR="001A0621" w:rsidRPr="005255AE" w:rsidRDefault="00F33C13"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7</w:t>
            </w:r>
            <w:r w:rsidR="007330F9">
              <w:rPr>
                <w:rFonts w:asciiTheme="minorBidi" w:eastAsia="Book Antiqua" w:hAnsiTheme="minorBidi" w:cstheme="minorBidi"/>
                <w:sz w:val="22"/>
                <w:szCs w:val="22"/>
              </w:rPr>
              <w:t>2</w:t>
            </w:r>
            <w:r w:rsidR="00FB4514">
              <w:rPr>
                <w:rFonts w:asciiTheme="minorBidi" w:eastAsia="Book Antiqua" w:hAnsiTheme="minorBidi" w:cstheme="minorBidi"/>
                <w:sz w:val="22"/>
                <w:szCs w:val="22"/>
              </w:rPr>
              <w:t>/R+6</w:t>
            </w:r>
          </w:p>
        </w:tc>
        <w:tc>
          <w:tcPr>
            <w:tcW w:w="1179" w:type="dxa"/>
          </w:tcPr>
          <w:p w14:paraId="53419FE2" w14:textId="067408F9"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546A81">
              <w:rPr>
                <w:rFonts w:asciiTheme="minorBidi" w:eastAsia="Book Antiqua" w:hAnsiTheme="minorBidi" w:cstheme="minorBidi"/>
                <w:sz w:val="22"/>
                <w:szCs w:val="22"/>
              </w:rPr>
              <w:t>6</w:t>
            </w:r>
            <w:r w:rsidR="007330F9">
              <w:rPr>
                <w:rFonts w:asciiTheme="minorBidi" w:eastAsia="Book Antiqua" w:hAnsiTheme="minorBidi" w:cstheme="minorBidi"/>
                <w:sz w:val="22"/>
                <w:szCs w:val="22"/>
              </w:rPr>
              <w:t>9</w:t>
            </w:r>
            <w:r>
              <w:rPr>
                <w:rFonts w:asciiTheme="minorBidi" w:eastAsia="Book Antiqua" w:hAnsiTheme="minorBidi" w:cstheme="minorBidi"/>
                <w:sz w:val="22"/>
                <w:szCs w:val="22"/>
              </w:rPr>
              <w:t>/11</w:t>
            </w:r>
          </w:p>
        </w:tc>
        <w:tc>
          <w:tcPr>
            <w:tcW w:w="1372" w:type="dxa"/>
          </w:tcPr>
          <w:p w14:paraId="179F87AE" w14:textId="40DECE6C"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A909C3">
              <w:rPr>
                <w:rFonts w:asciiTheme="minorBidi" w:eastAsia="Book Antiqua" w:hAnsiTheme="minorBidi" w:cstheme="minorBidi"/>
                <w:sz w:val="22"/>
                <w:szCs w:val="22"/>
              </w:rPr>
              <w:t>2</w:t>
            </w:r>
            <w:r w:rsidR="007330F9">
              <w:rPr>
                <w:rFonts w:asciiTheme="minorBidi" w:eastAsia="Book Antiqua" w:hAnsiTheme="minorBidi" w:cstheme="minorBidi"/>
                <w:sz w:val="22"/>
                <w:szCs w:val="22"/>
              </w:rPr>
              <w:t>46</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00F179D5" w:rsidRPr="00372948">
        <w:rPr>
          <w:rFonts w:asciiTheme="minorBidi" w:eastAsia="Book Antiqua" w:hAnsiTheme="minorBidi" w:cstheme="minorBidi"/>
          <w:b/>
          <w:sz w:val="24"/>
          <w:szCs w:val="24"/>
        </w:rPr>
        <w:t>dhs</w:t>
      </w:r>
      <w:proofErr w:type="spellEnd"/>
      <w:r w:rsidR="00F179D5" w:rsidRPr="00372948">
        <w:rPr>
          <w:rFonts w:asciiTheme="minorBidi" w:eastAsia="Book Antiqua" w:hAnsiTheme="minorBidi" w:cstheme="minorBidi"/>
          <w:b/>
          <w:sz w:val="24"/>
          <w:szCs w:val="24"/>
        </w:rPr>
        <w:t xml:space="preserve">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Pr="00372948">
        <w:rPr>
          <w:rFonts w:asciiTheme="minorBidi" w:eastAsia="Book Antiqua" w:hAnsiTheme="minorBidi" w:cstheme="minorBidi"/>
          <w:b/>
          <w:sz w:val="24"/>
          <w:szCs w:val="24"/>
        </w:rPr>
        <w:t>dh</w:t>
      </w:r>
      <w:r w:rsidR="00F179D5" w:rsidRPr="00372948">
        <w:rPr>
          <w:rFonts w:asciiTheme="minorBidi" w:eastAsia="Book Antiqua" w:hAnsiTheme="minorBidi" w:cstheme="minorBidi"/>
          <w:b/>
          <w:sz w:val="24"/>
          <w:szCs w:val="24"/>
        </w:rPr>
        <w:t>s</w:t>
      </w:r>
      <w:proofErr w:type="spellEnd"/>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roofErr w:type="spellEnd"/>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0D01AD12" w:rsidR="005F4727" w:rsidRPr="005255AE" w:rsidRDefault="00841CED"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7</w:t>
            </w:r>
            <w:r w:rsidR="00C3076B">
              <w:rPr>
                <w:rFonts w:asciiTheme="minorBidi" w:eastAsia="Book Antiqua" w:hAnsiTheme="minorBidi" w:cstheme="minorBidi"/>
                <w:color w:val="000000"/>
                <w:sz w:val="22"/>
                <w:szCs w:val="22"/>
              </w:rPr>
              <w:t>2</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 xml:space="preserve">.2 </w:t>
      </w:r>
      <w:proofErr w:type="spellStart"/>
      <w:r w:rsidR="002354A7" w:rsidRPr="00372948">
        <w:rPr>
          <w:rFonts w:asciiTheme="minorBidi" w:eastAsia="Book Antiqua" w:hAnsiTheme="minorBidi" w:cstheme="minorBidi"/>
          <w:b/>
          <w:sz w:val="24"/>
          <w:szCs w:val="24"/>
        </w:rPr>
        <w:t>Reportings</w:t>
      </w:r>
      <w:proofErr w:type="spellEnd"/>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Dès autorisation du projet par le partenaire, ce dernier est tenu de fournir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xml:space="preserv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Avant ouverture du chantier et démarrage des travaux, le partenaire doit remettre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 xml:space="preserve">e Partenaire est tenu de transmettre à Al </w:t>
      </w:r>
      <w:proofErr w:type="spellStart"/>
      <w:r w:rsidR="002354A7" w:rsidRPr="00372948">
        <w:rPr>
          <w:rFonts w:asciiTheme="minorBidi" w:eastAsia="Book Antiqua" w:hAnsiTheme="minorBidi" w:cstheme="minorBidi"/>
          <w:sz w:val="24"/>
          <w:szCs w:val="24"/>
        </w:rPr>
        <w:t>Omrane</w:t>
      </w:r>
      <w:proofErr w:type="spellEnd"/>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proofErr w:type="spellStart"/>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proofErr w:type="spellEnd"/>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proofErr w:type="gramStart"/>
      <w:r w:rsidR="00D23E8D">
        <w:rPr>
          <w:rFonts w:asciiTheme="minorBidi" w:eastAsia="Book Antiqua" w:hAnsiTheme="minorBidi" w:cstheme="minorBidi"/>
          <w:sz w:val="24"/>
          <w:szCs w:val="24"/>
        </w:rPr>
        <w:t>…….</w:t>
      </w:r>
      <w:proofErr w:type="gramEnd"/>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 xml:space="preserv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……….avant l'obtention de l’accord d’ 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71DB946F"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C5450C">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xml:space="preserve">] </w:t>
      </w:r>
      <w:proofErr w:type="spellStart"/>
      <w:r w:rsidRPr="001C0433">
        <w:rPr>
          <w:rFonts w:asciiTheme="minorBidi" w:eastAsia="Book Antiqua" w:hAnsiTheme="minorBidi" w:cstheme="minorBidi"/>
          <w:b/>
          <w:bCs/>
          <w:sz w:val="24"/>
          <w:szCs w:val="24"/>
        </w:rPr>
        <w:t>Dh</w:t>
      </w:r>
      <w:proofErr w:type="spellEnd"/>
      <w:r w:rsidRPr="001C0433">
        <w:rPr>
          <w:rFonts w:asciiTheme="minorBidi" w:eastAsia="Book Antiqua" w:hAnsiTheme="minorBidi" w:cstheme="minorBidi"/>
          <w:b/>
          <w:bCs/>
          <w:sz w:val="24"/>
          <w:szCs w:val="24"/>
        </w:rPr>
        <w:t>/m²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 xml:space="preserve">e prix s’entend </w:t>
      </w:r>
      <w:proofErr w:type="gramStart"/>
      <w:r w:rsidRPr="0052138B">
        <w:rPr>
          <w:rFonts w:asciiTheme="minorBidi" w:eastAsia="Book Antiqua" w:hAnsiTheme="minorBidi" w:cstheme="minorBidi"/>
          <w:sz w:val="24"/>
          <w:szCs w:val="24"/>
        </w:rPr>
        <w:t>hors</w:t>
      </w:r>
      <w:proofErr w:type="gramEnd"/>
      <w:r w:rsidRPr="0052138B">
        <w:rPr>
          <w:rFonts w:asciiTheme="minorBidi" w:eastAsia="Book Antiqua" w:hAnsiTheme="minorBidi" w:cstheme="minorBidi"/>
          <w:sz w:val="24"/>
          <w:szCs w:val="24"/>
        </w:rPr>
        <w:t xml:space="preserve">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proofErr w:type="spellStart"/>
      <w:r w:rsidRPr="003D15A0">
        <w:rPr>
          <w:rFonts w:asciiTheme="minorBidi" w:eastAsia="Book Antiqua" w:hAnsiTheme="minorBidi" w:cstheme="minorBidi"/>
          <w:sz w:val="24"/>
          <w:szCs w:val="24"/>
        </w:rPr>
        <w:t>Omrane</w:t>
      </w:r>
      <w:proofErr w:type="spellEnd"/>
      <w:r w:rsidRPr="003D15A0">
        <w:rPr>
          <w:rFonts w:asciiTheme="minorBidi" w:eastAsia="Book Antiqua" w:hAnsiTheme="minorBidi" w:cstheme="minorBidi"/>
          <w:sz w:val="24"/>
          <w:szCs w:val="24"/>
        </w:rPr>
        <w:t>, comme suit :</w:t>
      </w:r>
    </w:p>
    <w:p w14:paraId="023458AB" w14:textId="2BB4B917" w:rsidR="00E6557B" w:rsidRPr="00B65D9D" w:rsidRDefault="00C5450C"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proofErr w:type="gramStart"/>
      <w:r w:rsidR="00714657" w:rsidRPr="00B65D9D">
        <w:rPr>
          <w:rFonts w:asciiTheme="minorBidi" w:eastAsia="Book Antiqua" w:hAnsiTheme="minorBidi" w:cstheme="minorBidi"/>
          <w:sz w:val="24"/>
          <w:szCs w:val="24"/>
        </w:rPr>
        <w:t>DH</w:t>
      </w:r>
      <w:r w:rsidR="00102498" w:rsidRPr="00B65D9D">
        <w:rPr>
          <w:rFonts w:asciiTheme="minorBidi" w:eastAsia="Book Antiqua" w:hAnsiTheme="minorBidi" w:cstheme="minorBidi"/>
          <w:sz w:val="24"/>
          <w:szCs w:val="24"/>
        </w:rPr>
        <w:t>:</w:t>
      </w:r>
      <w:proofErr w:type="gramEnd"/>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690D602D" w:rsidR="005F2F68" w:rsidRPr="003D15A0" w:rsidRDefault="00C5450C"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proofErr w:type="gramStart"/>
      <w:r>
        <w:rPr>
          <w:rFonts w:asciiTheme="minorBidi" w:eastAsia="Book Antiqua" w:hAnsiTheme="minorBidi" w:cstheme="minorBidi"/>
          <w:szCs w:val="24"/>
        </w:rPr>
        <w:t>…….</w:t>
      </w:r>
      <w:proofErr w:type="gramEnd"/>
      <w:r w:rsidR="003A6C59" w:rsidRPr="00B65D9D">
        <w:rPr>
          <w:rFonts w:asciiTheme="minorBidi" w:eastAsia="Book Antiqua" w:hAnsiTheme="minorBidi" w:cstheme="minorBidi"/>
          <w:szCs w:val="24"/>
        </w:rPr>
        <w:t>……</w:t>
      </w:r>
      <w:proofErr w:type="gramStart"/>
      <w:r w:rsidR="003A6C59" w:rsidRPr="00B65D9D">
        <w:rPr>
          <w:rFonts w:asciiTheme="minorBidi" w:eastAsia="Book Antiqua" w:hAnsiTheme="minorBidi" w:cstheme="minorBidi"/>
          <w:szCs w:val="24"/>
        </w:rPr>
        <w:t>…….</w:t>
      </w:r>
      <w:proofErr w:type="gramEnd"/>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3DA8B9FB" w14:textId="6E346477" w:rsidR="003E7161"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AC72F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 xml:space="preserve">selon le taux en vigueur, tel au surplus que les dits lots sont plus amplement décrit au titres fonciers mentionnés à l'article 3 ainsi que l'ensemble des constructions y édifiées ou à édifier, ainsi que le tout se poursuit et comporte sans aucune </w:t>
      </w:r>
    </w:p>
    <w:p w14:paraId="7C3AA6EA" w14:textId="77777777" w:rsidR="003E7161" w:rsidRDefault="003E7161"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p>
    <w:p w14:paraId="678A8616" w14:textId="0CF3B385" w:rsidR="001A614D" w:rsidRPr="003D15A0" w:rsidRDefault="006E304C"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proofErr w:type="gramStart"/>
      <w:r w:rsidRPr="006E304C">
        <w:rPr>
          <w:rFonts w:asciiTheme="minorBidi" w:hAnsiTheme="minorBidi" w:cstheme="minorBidi"/>
          <w:color w:val="363636"/>
          <w:sz w:val="24"/>
          <w:szCs w:val="24"/>
        </w:rPr>
        <w:t>exception</w:t>
      </w:r>
      <w:proofErr w:type="gramEnd"/>
      <w:r w:rsidRPr="006E304C">
        <w:rPr>
          <w:rFonts w:asciiTheme="minorBidi" w:hAnsiTheme="minorBidi" w:cstheme="minorBidi"/>
          <w:color w:val="363636"/>
          <w:sz w:val="24"/>
          <w:szCs w:val="24"/>
        </w:rPr>
        <w:t xml:space="preserve"> ni réserve avec les immeubles par destination en dépendant, ou pouvant en dépendre</w:t>
      </w:r>
      <w:r w:rsidR="00337121" w:rsidRPr="006E304C">
        <w:rPr>
          <w:rFonts w:asciiTheme="minorBidi" w:hAnsiTheme="minorBidi" w:cstheme="minorBidi"/>
          <w:color w:val="363636"/>
          <w:sz w:val="24"/>
          <w:szCs w:val="24"/>
        </w:rPr>
        <w:t>.</w:t>
      </w:r>
      <w:r w:rsidR="001A614D"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w:t>
      </w:r>
      <w:proofErr w:type="spellStart"/>
      <w:r w:rsidR="006E304C">
        <w:rPr>
          <w:rFonts w:asciiTheme="minorBidi" w:hAnsiTheme="minorBidi" w:cstheme="minorBidi"/>
          <w:color w:val="363636"/>
          <w:spacing w:val="-13"/>
          <w:szCs w:val="24"/>
        </w:rPr>
        <w:t>Omrane</w:t>
      </w:r>
      <w:proofErr w:type="spellEnd"/>
      <w:r w:rsidR="006E304C">
        <w:rPr>
          <w:rFonts w:asciiTheme="minorBidi" w:hAnsiTheme="minorBidi" w:cstheme="minorBidi"/>
          <w:color w:val="363636"/>
          <w:spacing w:val="-13"/>
          <w:szCs w:val="24"/>
        </w:rPr>
        <w:t xml:space="preserv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exempter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toute responsabilité, pour quelque cause que ce soit, dans le cadre de la commercialisation, et s’interdire toute publicité ou acte commercial de nature à impliquer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 xml:space="preserve">La société Al </w:t>
      </w:r>
      <w:proofErr w:type="spellStart"/>
      <w:r>
        <w:rPr>
          <w:rFonts w:asciiTheme="minorBidi" w:eastAsia="Book Antiqua" w:hAnsiTheme="minorBidi" w:cstheme="minorBidi"/>
          <w:sz w:val="24"/>
          <w:szCs w:val="24"/>
        </w:rPr>
        <w:t>Omrane</w:t>
      </w:r>
      <w:proofErr w:type="spellEnd"/>
      <w:r>
        <w:rPr>
          <w:rFonts w:asciiTheme="minorBidi" w:eastAsia="Book Antiqua" w:hAnsiTheme="minorBidi" w:cstheme="minorBidi"/>
          <w:sz w:val="24"/>
          <w:szCs w:val="24"/>
        </w:rPr>
        <w:t xml:space="preserv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w:t>
      </w:r>
      <w:proofErr w:type="spellStart"/>
      <w:r w:rsidR="0075735F" w:rsidRPr="006A1B18">
        <w:rPr>
          <w:rFonts w:asciiTheme="minorBidi" w:eastAsia="Book Antiqua" w:hAnsiTheme="minorBidi" w:cstheme="minorBidi"/>
          <w:sz w:val="24"/>
          <w:szCs w:val="24"/>
        </w:rPr>
        <w:t>Omrane</w:t>
      </w:r>
      <w:proofErr w:type="spellEnd"/>
      <w:r w:rsidR="0075735F" w:rsidRPr="006A1B18">
        <w:rPr>
          <w:rFonts w:asciiTheme="minorBidi" w:eastAsia="Book Antiqua" w:hAnsiTheme="minorBidi" w:cstheme="minorBidi"/>
          <w:sz w:val="24"/>
          <w:szCs w:val="24"/>
        </w:rPr>
        <w:t>,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w:t>
      </w:r>
      <w:proofErr w:type="spellStart"/>
      <w:r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 xml:space="preserve">Al </w:t>
      </w:r>
      <w:proofErr w:type="spellStart"/>
      <w:r w:rsidR="000028DE"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504A3F2C"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w:t>
      </w:r>
      <w:proofErr w:type="gramEnd"/>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mois</w:t>
      </w:r>
      <w:proofErr w:type="gramEnd"/>
      <w:r w:rsidR="005F5E42" w:rsidRPr="006A1B18">
        <w:rPr>
          <w:rFonts w:asciiTheme="minorBidi" w:hAnsiTheme="minorBidi" w:cstheme="minorBidi"/>
          <w:sz w:val="24"/>
          <w:szCs w:val="24"/>
        </w:rPr>
        <w:t xml:space="preserve"> à compter de la date de l’obtention de l’autorisation de </w:t>
      </w:r>
      <w:r w:rsidR="00300D28"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 xml:space="preserve">Al </w:t>
      </w:r>
      <w:proofErr w:type="spellStart"/>
      <w:r w:rsidR="00652A9C" w:rsidRPr="006A1B18">
        <w:rPr>
          <w:rFonts w:asciiTheme="minorBidi" w:hAnsiTheme="minorBidi" w:cstheme="minorBidi"/>
          <w:sz w:val="24"/>
          <w:szCs w:val="24"/>
        </w:rPr>
        <w:t>Omrane</w:t>
      </w:r>
      <w:proofErr w:type="spellEnd"/>
      <w:r w:rsidR="00652A9C" w:rsidRPr="006A1B18">
        <w:rPr>
          <w:rFonts w:asciiTheme="minorBidi" w:hAnsiTheme="minorBidi" w:cstheme="minorBidi"/>
          <w:sz w:val="24"/>
          <w:szCs w:val="24"/>
        </w:rPr>
        <w:t xml:space="preserv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donne à cet effet décharge entière et définitive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commission dont les membres sont désignés par Al </w:t>
      </w:r>
      <w:proofErr w:type="spellStart"/>
      <w:r w:rsidRPr="00C21E66">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 xml:space="preserve">Le délai qui lui est imparti pour ce faire est fixé par Al </w:t>
      </w:r>
      <w:proofErr w:type="spellStart"/>
      <w:r w:rsidRPr="00EA2DC4">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00344687" w:rsidRPr="0052138B">
        <w:rPr>
          <w:rFonts w:asciiTheme="minorBidi" w:hAnsiTheme="minorBidi" w:cstheme="minorBidi"/>
          <w:sz w:val="24"/>
          <w:szCs w:val="24"/>
        </w:rPr>
        <w:t>Omrane</w:t>
      </w:r>
      <w:proofErr w:type="spellEnd"/>
      <w:r w:rsidR="00344687" w:rsidRPr="0052138B">
        <w:rPr>
          <w:rFonts w:asciiTheme="minorBidi" w:hAnsiTheme="minorBidi" w:cstheme="minorBidi"/>
          <w:sz w:val="24"/>
          <w:szCs w:val="24"/>
        </w:rPr>
        <w:t xml:space="preserv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ou une autre raison jugée acceptable par Al </w:t>
      </w:r>
      <w:proofErr w:type="spellStart"/>
      <w:r w:rsidRPr="00D20DC5">
        <w:rPr>
          <w:rFonts w:asciiTheme="minorBidi" w:hAnsiTheme="minorBidi" w:cstheme="minorBidi"/>
          <w:sz w:val="24"/>
          <w:szCs w:val="24"/>
        </w:rPr>
        <w:t>Omrane</w:t>
      </w:r>
      <w:proofErr w:type="spellEnd"/>
      <w:r w:rsidR="00344687" w:rsidRPr="00D20DC5">
        <w:rPr>
          <w:rFonts w:asciiTheme="minorBidi" w:hAnsiTheme="minorBidi" w:cstheme="minorBidi"/>
          <w:sz w:val="24"/>
          <w:szCs w:val="24"/>
        </w:rPr>
        <w:t>, l</w:t>
      </w:r>
      <w:r w:rsidRPr="00D20DC5">
        <w:rPr>
          <w:rFonts w:asciiTheme="minorBidi" w:hAnsiTheme="minorBidi" w:cstheme="minorBidi"/>
          <w:sz w:val="24"/>
          <w:szCs w:val="24"/>
        </w:rPr>
        <w:t xml:space="preserve">e partenaire défaillant peut présenter une demande à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 xml:space="preserve">Si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de son lot,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proofErr w:type="spellStart"/>
      <w:r w:rsidR="005B30EB" w:rsidRPr="00344687">
        <w:rPr>
          <w:rFonts w:asciiTheme="minorBidi" w:hAnsiTheme="minorBidi" w:cstheme="minorBidi"/>
          <w:sz w:val="24"/>
          <w:szCs w:val="24"/>
        </w:rPr>
        <w:t>Omrane</w:t>
      </w:r>
      <w:proofErr w:type="spellEnd"/>
      <w:r w:rsidR="005B30EB" w:rsidRPr="00344687">
        <w:rPr>
          <w:rFonts w:asciiTheme="minorBidi" w:hAnsiTheme="minorBidi" w:cstheme="minorBidi"/>
          <w:sz w:val="24"/>
          <w:szCs w:val="24"/>
        </w:rPr>
        <w:t xml:space="preserv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30410F48"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300D28">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w:t>
      </w:r>
      <w:proofErr w:type="spellStart"/>
      <w:r w:rsidRPr="00D20DC5">
        <w:rPr>
          <w:rFonts w:asciiTheme="minorBidi" w:hAnsiTheme="minorBidi" w:cstheme="minorBidi"/>
          <w:b/>
          <w:bCs/>
          <w:sz w:val="24"/>
          <w:szCs w:val="24"/>
        </w:rPr>
        <w:t>Omrane</w:t>
      </w:r>
      <w:proofErr w:type="spellEnd"/>
      <w:r w:rsidRPr="00D20DC5">
        <w:rPr>
          <w:rFonts w:asciiTheme="minorBidi" w:hAnsiTheme="minorBidi" w:cstheme="minorBidi"/>
          <w:b/>
          <w:bCs/>
          <w:sz w:val="24"/>
          <w:szCs w:val="24"/>
        </w:rPr>
        <w:t xml:space="preserv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à</w:t>
      </w:r>
      <w:proofErr w:type="gramStart"/>
      <w:r w:rsidRPr="00607751">
        <w:rPr>
          <w:rFonts w:asciiTheme="minorBidi" w:hAnsiTheme="minorBidi" w:cstheme="minorBidi"/>
          <w:sz w:val="24"/>
          <w:szCs w:val="24"/>
        </w:rPr>
        <w:t xml:space="preserve"> </w:t>
      </w:r>
      <w:r w:rsidR="00E27A8D" w:rsidRPr="00607751">
        <w:rPr>
          <w:rFonts w:asciiTheme="minorBidi" w:hAnsiTheme="minorBidi" w:cstheme="minorBidi"/>
          <w:sz w:val="24"/>
          <w:szCs w:val="24"/>
        </w:rPr>
        <w:t>….</w:t>
      </w:r>
      <w:proofErr w:type="gramEnd"/>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0FFAF3A2"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r w:rsidR="00300D28">
        <w:rPr>
          <w:rFonts w:asciiTheme="minorBidi" w:hAnsiTheme="minorBidi" w:cstheme="minorBidi"/>
          <w:b/>
          <w:bCs/>
          <w:sz w:val="24"/>
          <w:szCs w:val="24"/>
        </w:rPr>
        <w:t>……</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En quatre (4</w:t>
      </w:r>
      <w:proofErr w:type="gramStart"/>
      <w:r w:rsidR="009A5119" w:rsidRPr="0052138B">
        <w:rPr>
          <w:rFonts w:asciiTheme="minorBidi" w:hAnsiTheme="minorBidi" w:cstheme="minorBidi"/>
          <w:b/>
          <w:bCs/>
          <w:sz w:val="24"/>
          <w:szCs w:val="24"/>
        </w:rPr>
        <w:t>)  [</w:t>
      </w:r>
      <w:proofErr w:type="gramEnd"/>
      <w:r w:rsidR="009A5119" w:rsidRPr="0052138B">
        <w:rPr>
          <w:rFonts w:asciiTheme="minorBidi" w:hAnsiTheme="minorBidi" w:cstheme="minorBidi"/>
          <w:b/>
          <w:bCs/>
          <w:sz w:val="24"/>
          <w:szCs w:val="24"/>
        </w:rPr>
        <w:t xml:space="preserve">•]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300D28" w:rsidRDefault="0065527B" w:rsidP="00C21E66">
      <w:pPr>
        <w:spacing w:before="120" w:after="120" w:line="240" w:lineRule="auto"/>
        <w:ind w:left="0" w:hanging="2"/>
        <w:jc w:val="both"/>
        <w:rPr>
          <w:rFonts w:asciiTheme="minorBidi" w:hAnsiTheme="minorBidi" w:cstheme="minorBidi"/>
          <w:smallCaps/>
          <w:sz w:val="24"/>
          <w:szCs w:val="24"/>
        </w:rPr>
      </w:pPr>
      <w:r w:rsidRPr="00300D28">
        <w:rPr>
          <w:rFonts w:asciiTheme="minorBidi" w:hAnsiTheme="minorBidi" w:cstheme="minorBidi"/>
          <w:smallCaps/>
          <w:sz w:val="24"/>
          <w:szCs w:val="24"/>
        </w:rPr>
        <w:t>AL OMRANE REGION DE L’ORIENTAL</w:t>
      </w:r>
    </w:p>
    <w:p w14:paraId="0798CC28" w14:textId="77777777" w:rsidR="009A5119" w:rsidRPr="00300D28" w:rsidRDefault="009A5119" w:rsidP="00C21E66">
      <w:pPr>
        <w:spacing w:before="120" w:after="120" w:line="240" w:lineRule="auto"/>
        <w:ind w:left="0" w:hanging="2"/>
        <w:jc w:val="both"/>
        <w:rPr>
          <w:rFonts w:asciiTheme="minorBidi" w:hAnsiTheme="minorBidi" w:cstheme="minorBidi"/>
          <w:sz w:val="24"/>
          <w:szCs w:val="24"/>
        </w:rPr>
      </w:pPr>
      <w:r w:rsidRPr="00300D28">
        <w:rPr>
          <w:rFonts w:asciiTheme="minorBidi" w:hAnsiTheme="minorBidi" w:cstheme="minorBidi"/>
          <w:sz w:val="24"/>
          <w:szCs w:val="24"/>
        </w:rPr>
        <w:t>Par : [•]</w:t>
      </w:r>
    </w:p>
    <w:p w14:paraId="0BDCD55A" w14:textId="77777777" w:rsidR="009A5119" w:rsidRPr="00300D28" w:rsidRDefault="009A5119" w:rsidP="00C21E66">
      <w:pPr>
        <w:spacing w:before="120" w:after="120" w:line="240" w:lineRule="auto"/>
        <w:ind w:left="0" w:hanging="2"/>
        <w:jc w:val="both"/>
        <w:rPr>
          <w:rFonts w:asciiTheme="minorBidi" w:hAnsiTheme="minorBidi" w:cstheme="minorBidi"/>
          <w:sz w:val="24"/>
          <w:szCs w:val="24"/>
        </w:rPr>
      </w:pPr>
      <w:r w:rsidRPr="00300D28">
        <w:rPr>
          <w:rFonts w:asciiTheme="minorBidi" w:hAnsiTheme="minorBidi" w:cstheme="minorBidi"/>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0CCA6" w14:textId="77777777" w:rsidR="006E14FE" w:rsidRDefault="006E14FE">
      <w:pPr>
        <w:spacing w:line="240" w:lineRule="auto"/>
        <w:ind w:left="0" w:hanging="2"/>
      </w:pPr>
      <w:r>
        <w:separator/>
      </w:r>
    </w:p>
  </w:endnote>
  <w:endnote w:type="continuationSeparator" w:id="0">
    <w:p w14:paraId="34041C56" w14:textId="77777777" w:rsidR="006E14FE" w:rsidRDefault="006E14F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AD76B" w14:textId="77777777" w:rsidR="006E14FE" w:rsidRDefault="006E14FE">
      <w:pPr>
        <w:spacing w:line="240" w:lineRule="auto"/>
        <w:ind w:left="0" w:hanging="2"/>
      </w:pPr>
      <w:r>
        <w:separator/>
      </w:r>
    </w:p>
  </w:footnote>
  <w:footnote w:type="continuationSeparator" w:id="0">
    <w:p w14:paraId="4E05E1A3" w14:textId="77777777" w:rsidR="006E14FE" w:rsidRDefault="006E14F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27163"/>
    <w:rsid w:val="000320F5"/>
    <w:rsid w:val="00034A5B"/>
    <w:rsid w:val="00042F63"/>
    <w:rsid w:val="00044E0F"/>
    <w:rsid w:val="00050225"/>
    <w:rsid w:val="00050B40"/>
    <w:rsid w:val="00065059"/>
    <w:rsid w:val="0006573E"/>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883"/>
    <w:rsid w:val="00211A91"/>
    <w:rsid w:val="00211D6B"/>
    <w:rsid w:val="00233FB5"/>
    <w:rsid w:val="002354A7"/>
    <w:rsid w:val="00242BD9"/>
    <w:rsid w:val="00247627"/>
    <w:rsid w:val="002523FC"/>
    <w:rsid w:val="00263756"/>
    <w:rsid w:val="00264A44"/>
    <w:rsid w:val="0027103A"/>
    <w:rsid w:val="00280148"/>
    <w:rsid w:val="00283036"/>
    <w:rsid w:val="002838FE"/>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0D28"/>
    <w:rsid w:val="00304BA3"/>
    <w:rsid w:val="00305E11"/>
    <w:rsid w:val="003140F3"/>
    <w:rsid w:val="00320B77"/>
    <w:rsid w:val="00323314"/>
    <w:rsid w:val="00326D5D"/>
    <w:rsid w:val="0032F500"/>
    <w:rsid w:val="00331E12"/>
    <w:rsid w:val="00337121"/>
    <w:rsid w:val="0034075B"/>
    <w:rsid w:val="00341624"/>
    <w:rsid w:val="003422D4"/>
    <w:rsid w:val="00344687"/>
    <w:rsid w:val="003447FC"/>
    <w:rsid w:val="0034697B"/>
    <w:rsid w:val="003576FC"/>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E7161"/>
    <w:rsid w:val="003F49AD"/>
    <w:rsid w:val="00403CF5"/>
    <w:rsid w:val="00412B33"/>
    <w:rsid w:val="00415874"/>
    <w:rsid w:val="00431818"/>
    <w:rsid w:val="00432393"/>
    <w:rsid w:val="004347DC"/>
    <w:rsid w:val="00440ECF"/>
    <w:rsid w:val="00441D3F"/>
    <w:rsid w:val="00443969"/>
    <w:rsid w:val="004440D9"/>
    <w:rsid w:val="00446E3A"/>
    <w:rsid w:val="0044769A"/>
    <w:rsid w:val="00463534"/>
    <w:rsid w:val="00463B8E"/>
    <w:rsid w:val="00463DA3"/>
    <w:rsid w:val="00466161"/>
    <w:rsid w:val="004669AB"/>
    <w:rsid w:val="00481C19"/>
    <w:rsid w:val="004953E7"/>
    <w:rsid w:val="004A0583"/>
    <w:rsid w:val="004A4DAB"/>
    <w:rsid w:val="004B5574"/>
    <w:rsid w:val="004B7C6C"/>
    <w:rsid w:val="004C3035"/>
    <w:rsid w:val="004C5CA8"/>
    <w:rsid w:val="004C61D4"/>
    <w:rsid w:val="004D4D33"/>
    <w:rsid w:val="004E2B0F"/>
    <w:rsid w:val="004E2B13"/>
    <w:rsid w:val="004E6B52"/>
    <w:rsid w:val="004F5853"/>
    <w:rsid w:val="00502BD0"/>
    <w:rsid w:val="00516C04"/>
    <w:rsid w:val="0052138B"/>
    <w:rsid w:val="00523B84"/>
    <w:rsid w:val="005255AE"/>
    <w:rsid w:val="005340F8"/>
    <w:rsid w:val="00545725"/>
    <w:rsid w:val="00546A81"/>
    <w:rsid w:val="005640A6"/>
    <w:rsid w:val="00564CEA"/>
    <w:rsid w:val="005652B4"/>
    <w:rsid w:val="00567993"/>
    <w:rsid w:val="00573D4C"/>
    <w:rsid w:val="00575AF5"/>
    <w:rsid w:val="00580705"/>
    <w:rsid w:val="0058157F"/>
    <w:rsid w:val="00585F52"/>
    <w:rsid w:val="00590B96"/>
    <w:rsid w:val="00594554"/>
    <w:rsid w:val="00597E0E"/>
    <w:rsid w:val="005A2A39"/>
    <w:rsid w:val="005A3E64"/>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32556"/>
    <w:rsid w:val="006325D4"/>
    <w:rsid w:val="006440F9"/>
    <w:rsid w:val="00652A9C"/>
    <w:rsid w:val="0065527B"/>
    <w:rsid w:val="00656467"/>
    <w:rsid w:val="00656E75"/>
    <w:rsid w:val="00660C0C"/>
    <w:rsid w:val="006650A7"/>
    <w:rsid w:val="00667639"/>
    <w:rsid w:val="00667C54"/>
    <w:rsid w:val="00671CCE"/>
    <w:rsid w:val="00684108"/>
    <w:rsid w:val="0068576E"/>
    <w:rsid w:val="006A1B18"/>
    <w:rsid w:val="006B566B"/>
    <w:rsid w:val="006C0134"/>
    <w:rsid w:val="006C0D1F"/>
    <w:rsid w:val="006E14FE"/>
    <w:rsid w:val="006E304C"/>
    <w:rsid w:val="006E5A23"/>
    <w:rsid w:val="006F4E8E"/>
    <w:rsid w:val="006F7291"/>
    <w:rsid w:val="00700215"/>
    <w:rsid w:val="00702C8E"/>
    <w:rsid w:val="007119C3"/>
    <w:rsid w:val="007143F4"/>
    <w:rsid w:val="00714657"/>
    <w:rsid w:val="0071538F"/>
    <w:rsid w:val="007153DE"/>
    <w:rsid w:val="00717435"/>
    <w:rsid w:val="007244FE"/>
    <w:rsid w:val="0072604F"/>
    <w:rsid w:val="007330F9"/>
    <w:rsid w:val="00737CE9"/>
    <w:rsid w:val="00740B2B"/>
    <w:rsid w:val="00750D55"/>
    <w:rsid w:val="00756CFA"/>
    <w:rsid w:val="0075735F"/>
    <w:rsid w:val="007625CE"/>
    <w:rsid w:val="00765537"/>
    <w:rsid w:val="0076576F"/>
    <w:rsid w:val="00766222"/>
    <w:rsid w:val="007701B7"/>
    <w:rsid w:val="00786993"/>
    <w:rsid w:val="00791F25"/>
    <w:rsid w:val="00794659"/>
    <w:rsid w:val="007A64A7"/>
    <w:rsid w:val="007A70D7"/>
    <w:rsid w:val="007A741B"/>
    <w:rsid w:val="007C3FD2"/>
    <w:rsid w:val="007D40EA"/>
    <w:rsid w:val="007D5ADC"/>
    <w:rsid w:val="007E1E7D"/>
    <w:rsid w:val="007F0F31"/>
    <w:rsid w:val="007F151C"/>
    <w:rsid w:val="007F5681"/>
    <w:rsid w:val="00816E82"/>
    <w:rsid w:val="00823634"/>
    <w:rsid w:val="00824A3B"/>
    <w:rsid w:val="00831A4E"/>
    <w:rsid w:val="00841927"/>
    <w:rsid w:val="00841CED"/>
    <w:rsid w:val="008514C6"/>
    <w:rsid w:val="008705CB"/>
    <w:rsid w:val="00873489"/>
    <w:rsid w:val="0088048E"/>
    <w:rsid w:val="008873EB"/>
    <w:rsid w:val="00895B91"/>
    <w:rsid w:val="008A5B61"/>
    <w:rsid w:val="008B1B9F"/>
    <w:rsid w:val="008B546A"/>
    <w:rsid w:val="008B5D68"/>
    <w:rsid w:val="008C0037"/>
    <w:rsid w:val="008C56F5"/>
    <w:rsid w:val="008D2A05"/>
    <w:rsid w:val="008E2257"/>
    <w:rsid w:val="008F1119"/>
    <w:rsid w:val="00904882"/>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471B"/>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09C3"/>
    <w:rsid w:val="00A92ADC"/>
    <w:rsid w:val="00AA1641"/>
    <w:rsid w:val="00AB34BD"/>
    <w:rsid w:val="00AB58E1"/>
    <w:rsid w:val="00AC72FC"/>
    <w:rsid w:val="00AC79C7"/>
    <w:rsid w:val="00AD03EE"/>
    <w:rsid w:val="00AD3098"/>
    <w:rsid w:val="00AD6E77"/>
    <w:rsid w:val="00AE26D1"/>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E6AA0"/>
    <w:rsid w:val="00BF178A"/>
    <w:rsid w:val="00C073AC"/>
    <w:rsid w:val="00C07E00"/>
    <w:rsid w:val="00C11383"/>
    <w:rsid w:val="00C115DE"/>
    <w:rsid w:val="00C11D80"/>
    <w:rsid w:val="00C20541"/>
    <w:rsid w:val="00C20841"/>
    <w:rsid w:val="00C21DEF"/>
    <w:rsid w:val="00C21E66"/>
    <w:rsid w:val="00C269DB"/>
    <w:rsid w:val="00C3076B"/>
    <w:rsid w:val="00C34500"/>
    <w:rsid w:val="00C463E9"/>
    <w:rsid w:val="00C5450C"/>
    <w:rsid w:val="00C568E3"/>
    <w:rsid w:val="00C640E0"/>
    <w:rsid w:val="00C83B08"/>
    <w:rsid w:val="00C909D9"/>
    <w:rsid w:val="00CA3177"/>
    <w:rsid w:val="00CA56D4"/>
    <w:rsid w:val="00CA701C"/>
    <w:rsid w:val="00CB1894"/>
    <w:rsid w:val="00CB4714"/>
    <w:rsid w:val="00CC1F9E"/>
    <w:rsid w:val="00CC604A"/>
    <w:rsid w:val="00CF0525"/>
    <w:rsid w:val="00D014E3"/>
    <w:rsid w:val="00D05E9C"/>
    <w:rsid w:val="00D1247D"/>
    <w:rsid w:val="00D157AF"/>
    <w:rsid w:val="00D16DF7"/>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77250"/>
    <w:rsid w:val="00D87853"/>
    <w:rsid w:val="00D91C77"/>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2734"/>
    <w:rsid w:val="00E648B2"/>
    <w:rsid w:val="00E6557B"/>
    <w:rsid w:val="00E71DA0"/>
    <w:rsid w:val="00E72993"/>
    <w:rsid w:val="00E74146"/>
    <w:rsid w:val="00E773C3"/>
    <w:rsid w:val="00E87632"/>
    <w:rsid w:val="00E9181B"/>
    <w:rsid w:val="00E95197"/>
    <w:rsid w:val="00E95AF3"/>
    <w:rsid w:val="00EA145F"/>
    <w:rsid w:val="00EA14C4"/>
    <w:rsid w:val="00EA2DC4"/>
    <w:rsid w:val="00EC1F4D"/>
    <w:rsid w:val="00EC2734"/>
    <w:rsid w:val="00EC373F"/>
    <w:rsid w:val="00ED061E"/>
    <w:rsid w:val="00ED43FC"/>
    <w:rsid w:val="00ED52B4"/>
    <w:rsid w:val="00EF3C1B"/>
    <w:rsid w:val="00F0548B"/>
    <w:rsid w:val="00F14CCA"/>
    <w:rsid w:val="00F16A24"/>
    <w:rsid w:val="00F179D5"/>
    <w:rsid w:val="00F2060E"/>
    <w:rsid w:val="00F2468C"/>
    <w:rsid w:val="00F30D19"/>
    <w:rsid w:val="00F33C13"/>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4.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5.xml><?xml version="1.0" encoding="utf-8"?>
<ds:datastoreItem xmlns:ds="http://schemas.openxmlformats.org/officeDocument/2006/customXml" ds:itemID="{4F75CC42-256D-4AFC-A424-40144F90DF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17</Pages>
  <Words>5360</Words>
  <Characters>29481</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101</cp:revision>
  <cp:lastPrinted>2024-05-22T11:51:00Z</cp:lastPrinted>
  <dcterms:created xsi:type="dcterms:W3CDTF">2024-08-14T22:18:00Z</dcterms:created>
  <dcterms:modified xsi:type="dcterms:W3CDTF">2025-08-28T08:54:00Z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